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952E0" w:rsidRDefault="00000000">
      <w:pPr>
        <w:tabs>
          <w:tab w:val="left" w:pos="1080"/>
          <w:tab w:val="left" w:pos="1260"/>
        </w:tabs>
        <w:ind w:left="1080"/>
        <w:jc w:val="right"/>
        <w:outlineLvl w:val="0"/>
      </w:pPr>
      <w:r>
        <w:rPr>
          <w:b/>
          <w:i/>
        </w:rPr>
        <w:t xml:space="preserve"> Curso Avanzado de Física Nuclear Experimental</w:t>
      </w:r>
    </w:p>
    <w:p w:rsidR="009952E0" w:rsidRDefault="00000000">
      <w:pPr>
        <w:tabs>
          <w:tab w:val="left" w:pos="1080"/>
          <w:tab w:val="left" w:pos="1260"/>
        </w:tabs>
        <w:ind w:left="1080"/>
        <w:jc w:val="right"/>
        <w:outlineLvl w:val="0"/>
      </w:pPr>
      <w:r>
        <w:rPr>
          <w:b/>
          <w:i/>
        </w:rPr>
        <w:t>Master Inter-universitario de Física Nuclear</w:t>
      </w:r>
    </w:p>
    <w:p w:rsidR="009952E0" w:rsidRDefault="00000000">
      <w:pPr>
        <w:tabs>
          <w:tab w:val="left" w:pos="1080"/>
          <w:tab w:val="left" w:pos="1260"/>
        </w:tabs>
        <w:ind w:left="1080"/>
        <w:jc w:val="right"/>
        <w:outlineLvl w:val="0"/>
      </w:pPr>
      <w:r>
        <w:rPr>
          <w:b/>
          <w:i/>
        </w:rPr>
        <w:t>Curso 2023-2024</w:t>
      </w:r>
    </w:p>
    <w:p w:rsidR="009952E0" w:rsidRDefault="00000000">
      <w:pPr>
        <w:tabs>
          <w:tab w:val="left" w:pos="1080"/>
          <w:tab w:val="left" w:pos="1260"/>
        </w:tabs>
        <w:ind w:left="1080"/>
        <w:jc w:val="right"/>
        <w:outlineLvl w:val="0"/>
      </w:pPr>
      <w:r>
        <w:rPr>
          <w:b/>
          <w:i/>
        </w:rPr>
        <w:t>IFIC-Valencia</w:t>
      </w:r>
    </w:p>
    <w:p w:rsidR="009952E0" w:rsidRDefault="009952E0"/>
    <w:p w:rsidR="009952E0" w:rsidRDefault="009952E0"/>
    <w:p w:rsidR="009952E0" w:rsidRDefault="00000000">
      <w:pPr>
        <w:jc w:val="center"/>
        <w:outlineLvl w:val="0"/>
      </w:pPr>
      <w:r>
        <w:rPr>
          <w:sz w:val="32"/>
          <w:szCs w:val="32"/>
          <w:u w:val="single"/>
        </w:rPr>
        <w:t>Pr</w:t>
      </w:r>
      <w:r w:rsidR="007D4E0B">
        <w:rPr>
          <w:sz w:val="32"/>
          <w:szCs w:val="32"/>
          <w:u w:val="single"/>
        </w:rPr>
        <w:t>á</w:t>
      </w:r>
      <w:r>
        <w:rPr>
          <w:sz w:val="32"/>
          <w:szCs w:val="32"/>
          <w:u w:val="single"/>
        </w:rPr>
        <w:t>ctica de Laboratorio</w:t>
      </w:r>
    </w:p>
    <w:p w:rsidR="009952E0" w:rsidRDefault="00000000">
      <w:pPr>
        <w:outlineLvl w:val="0"/>
      </w:pPr>
      <w:r>
        <w:rPr>
          <w:b/>
          <w:sz w:val="28"/>
          <w:szCs w:val="28"/>
        </w:rPr>
        <w:t xml:space="preserve">                  Sistema de </w:t>
      </w:r>
      <w:proofErr w:type="spellStart"/>
      <w:r>
        <w:rPr>
          <w:b/>
          <w:sz w:val="28"/>
          <w:szCs w:val="28"/>
        </w:rPr>
        <w:t>multidetectores</w:t>
      </w:r>
      <w:proofErr w:type="spellEnd"/>
      <w:r>
        <w:rPr>
          <w:b/>
          <w:sz w:val="28"/>
          <w:szCs w:val="28"/>
        </w:rPr>
        <w:t xml:space="preserve"> gamma de absorción total</w:t>
      </w:r>
    </w:p>
    <w:p w:rsidR="009952E0" w:rsidRDefault="009952E0">
      <w:pPr>
        <w:rPr>
          <w:b/>
          <w:sz w:val="28"/>
          <w:szCs w:val="28"/>
        </w:rPr>
      </w:pPr>
    </w:p>
    <w:p w:rsidR="009952E0" w:rsidRDefault="009952E0">
      <w:pPr>
        <w:rPr>
          <w:b/>
        </w:rPr>
      </w:pPr>
    </w:p>
    <w:p w:rsidR="009952E0" w:rsidRDefault="00000000">
      <w:pPr>
        <w:jc w:val="both"/>
      </w:pPr>
      <w:r>
        <w:rPr>
          <w:b/>
        </w:rPr>
        <w:t>Objetivo</w:t>
      </w:r>
      <w:r>
        <w:t>: el objetivo de esta práctica es que los estudiantes se familiaricen con las técnicas experimentales que se emplean en sistemas de multi-detectores gamma de absorción total. Para ello utilizaremos como ejemplo el detector de absorción total “Rocinante”. Este detector está compuesto por 12 detectores de BaF2. Durante la práctica los estudiantes aprenderán conceptos básicos empleados en experimentos de multi-detectores gamma como son el alineamiento y calibración de los detectores, la generación del “</w:t>
      </w:r>
      <w:proofErr w:type="spellStart"/>
      <w:r>
        <w:t>trigger</w:t>
      </w:r>
      <w:proofErr w:type="spellEnd"/>
      <w:r>
        <w:t xml:space="preserve">”, multiplicidad del evento, y se familiarizarán con los conceptos básicos de la técnica de absorción total. </w:t>
      </w:r>
    </w:p>
    <w:p w:rsidR="009952E0" w:rsidRDefault="009952E0"/>
    <w:p w:rsidR="009952E0" w:rsidRDefault="00000000">
      <w:pPr>
        <w:outlineLvl w:val="0"/>
      </w:pPr>
      <w:r>
        <w:rPr>
          <w:b/>
        </w:rPr>
        <w:t>Bibliografía:</w:t>
      </w:r>
    </w:p>
    <w:p w:rsidR="009952E0" w:rsidRDefault="00000000">
      <w:pPr>
        <w:jc w:val="both"/>
      </w:pPr>
      <w:r>
        <w:t>1. Capítulos 5, 7, 8, 11, 14 y 15 de W. R. Leo: “</w:t>
      </w:r>
      <w:proofErr w:type="spellStart"/>
      <w:r>
        <w:t>Techniques</w:t>
      </w:r>
      <w:proofErr w:type="spellEnd"/>
      <w:r>
        <w:t xml:space="preserve"> </w:t>
      </w:r>
      <w:proofErr w:type="spellStart"/>
      <w:r>
        <w:t>for</w:t>
      </w:r>
      <w:proofErr w:type="spellEnd"/>
      <w:r>
        <w:t xml:space="preserve"> Nuclear and </w:t>
      </w:r>
      <w:proofErr w:type="spellStart"/>
      <w:r>
        <w:t>Particle</w:t>
      </w:r>
      <w:proofErr w:type="spellEnd"/>
      <w:r>
        <w:t xml:space="preserve"> </w:t>
      </w:r>
      <w:proofErr w:type="spellStart"/>
      <w:r>
        <w:t>Physics</w:t>
      </w:r>
      <w:proofErr w:type="spellEnd"/>
      <w:r>
        <w:t xml:space="preserve"> </w:t>
      </w:r>
      <w:proofErr w:type="spellStart"/>
      <w:r>
        <w:t>Experiments</w:t>
      </w:r>
      <w:proofErr w:type="spellEnd"/>
      <w:r>
        <w:t>”.</w:t>
      </w:r>
    </w:p>
    <w:p w:rsidR="009952E0" w:rsidRDefault="00000000">
      <w:pPr>
        <w:jc w:val="both"/>
      </w:pPr>
      <w:r>
        <w:t xml:space="preserve">2.  Apartados 7.3, 7.6, 7.7 y 7.8 de K. S. </w:t>
      </w:r>
      <w:proofErr w:type="spellStart"/>
      <w:r>
        <w:t>Krane</w:t>
      </w:r>
      <w:proofErr w:type="spellEnd"/>
      <w:r>
        <w:t>: “</w:t>
      </w:r>
      <w:proofErr w:type="spellStart"/>
      <w:r>
        <w:t>Introductory</w:t>
      </w:r>
      <w:proofErr w:type="spellEnd"/>
      <w:r>
        <w:t xml:space="preserve"> Nuclear </w:t>
      </w:r>
      <w:proofErr w:type="spellStart"/>
      <w:r>
        <w:t>Physics</w:t>
      </w:r>
      <w:proofErr w:type="spellEnd"/>
      <w:r>
        <w:t>”</w:t>
      </w:r>
    </w:p>
    <w:p w:rsidR="009952E0" w:rsidRDefault="00000000">
      <w:pPr>
        <w:jc w:val="both"/>
      </w:pPr>
      <w:r>
        <w:t xml:space="preserve">3. Centelladores: </w:t>
      </w:r>
    </w:p>
    <w:p w:rsidR="00EC46B2" w:rsidRDefault="00EC46B2">
      <w:pPr>
        <w:jc w:val="both"/>
      </w:pPr>
      <w:hyperlink r:id="rId4" w:history="1">
        <w:r w:rsidRPr="00D3326E">
          <w:rPr>
            <w:rStyle w:val="Hyperlink"/>
          </w:rPr>
          <w:t>https://www.luxiumsolutions.com/sites/default/files/2021-09/Scintillation-Operating-Manual.pdf</w:t>
        </w:r>
      </w:hyperlink>
      <w:r w:rsidRPr="00EC46B2">
        <w:t xml:space="preserve"> </w:t>
      </w:r>
    </w:p>
    <w:p w:rsidR="00EC46B2" w:rsidRDefault="00EC46B2">
      <w:pPr>
        <w:jc w:val="both"/>
      </w:pPr>
    </w:p>
    <w:p w:rsidR="009952E0" w:rsidRDefault="00000000">
      <w:pPr>
        <w:jc w:val="both"/>
      </w:pPr>
      <w:r>
        <w:t xml:space="preserve">4. Electrónica y sistema de adquisición: </w:t>
      </w:r>
    </w:p>
    <w:p w:rsidR="00035CF3" w:rsidRDefault="00035CF3">
      <w:pPr>
        <w:jc w:val="both"/>
      </w:pPr>
      <w:hyperlink r:id="rId5" w:history="1">
        <w:r w:rsidRPr="00D3326E">
          <w:rPr>
            <w:rStyle w:val="Hyperlink"/>
          </w:rPr>
          <w:t>https://www.caen.it/products/n968/</w:t>
        </w:r>
      </w:hyperlink>
    </w:p>
    <w:p w:rsidR="009952E0" w:rsidRDefault="00000000">
      <w:pPr>
        <w:jc w:val="both"/>
      </w:pPr>
      <w:hyperlink r:id="rId6">
        <w:r>
          <w:rPr>
            <w:rStyle w:val="Hyperlink"/>
          </w:rPr>
          <w:t>http://www.struck.de/sis3316.html</w:t>
        </w:r>
      </w:hyperlink>
    </w:p>
    <w:p w:rsidR="009952E0" w:rsidRDefault="00000000">
      <w:pPr>
        <w:jc w:val="both"/>
      </w:pPr>
      <w:hyperlink r:id="rId7">
        <w:r>
          <w:rPr>
            <w:rStyle w:val="Hyperlink"/>
          </w:rPr>
          <w:t>http://www.caen.it/csite/CaenProd.jsp?parent=20&amp;idmod=123</w:t>
        </w:r>
      </w:hyperlink>
    </w:p>
    <w:p w:rsidR="009952E0" w:rsidRDefault="00000000">
      <w:pPr>
        <w:jc w:val="both"/>
      </w:pPr>
      <w:hyperlink r:id="rId8">
        <w:r>
          <w:rPr>
            <w:rStyle w:val="Hyperlink"/>
          </w:rPr>
          <w:t>https://www.mesytec.com/products/nuclear-physics/MSCF-16_F_V.html</w:t>
        </w:r>
      </w:hyperlink>
    </w:p>
    <w:p w:rsidR="009952E0" w:rsidRDefault="00000000">
      <w:pPr>
        <w:jc w:val="both"/>
      </w:pPr>
      <w:r>
        <w:t>Manual GASIFIC</w:t>
      </w:r>
    </w:p>
    <w:p w:rsidR="009952E0" w:rsidRDefault="00000000">
      <w:pPr>
        <w:jc w:val="both"/>
      </w:pPr>
      <w:r>
        <w:t>5. Artículos introductorios/</w:t>
      </w:r>
      <w:proofErr w:type="spellStart"/>
      <w:r>
        <w:t>reviews</w:t>
      </w:r>
      <w:proofErr w:type="spellEnd"/>
      <w:r>
        <w:t xml:space="preserve"> sobre la técnica TAS:</w:t>
      </w:r>
    </w:p>
    <w:p w:rsidR="009952E0" w:rsidRDefault="00000000">
      <w:pPr>
        <w:jc w:val="both"/>
      </w:pPr>
      <w:hyperlink r:id="rId9">
        <w:r>
          <w:rPr>
            <w:rStyle w:val="Hyperlink"/>
          </w:rPr>
          <w:t>https://www.intechopen.com/books/nuclear-reactors/decay-heat-and-nuclear-data</w:t>
        </w:r>
      </w:hyperlink>
      <w:r>
        <w:t>, secciones 3.1, and 3.2</w:t>
      </w:r>
    </w:p>
    <w:p w:rsidR="009952E0" w:rsidRDefault="00000000">
      <w:pPr>
        <w:jc w:val="both"/>
      </w:pPr>
      <w:hyperlink r:id="rId10">
        <w:r>
          <w:rPr>
            <w:rStyle w:val="Hyperlink"/>
          </w:rPr>
          <w:t>http://iopscience.iop.org/article/10.1088/1361-6471/aa797f</w:t>
        </w:r>
      </w:hyperlink>
      <w:r>
        <w:t xml:space="preserve"> , secciones 1, 2 and 3.1</w:t>
      </w:r>
    </w:p>
    <w:p w:rsidR="009952E0" w:rsidRDefault="009952E0"/>
    <w:p w:rsidR="009952E0" w:rsidRDefault="00000000">
      <w:pPr>
        <w:outlineLvl w:val="0"/>
      </w:pPr>
      <w:r>
        <w:rPr>
          <w:b/>
        </w:rPr>
        <w:t>Materiales:</w:t>
      </w:r>
    </w:p>
    <w:p w:rsidR="009952E0" w:rsidRDefault="00000000">
      <w:r>
        <w:t>1) Detector de absorción total Rocinante (BaF2) (Fig. 1)</w:t>
      </w:r>
    </w:p>
    <w:p w:rsidR="009952E0" w:rsidRDefault="00000000">
      <w:pPr>
        <w:jc w:val="both"/>
      </w:pPr>
      <w:r>
        <w:t>2) Fuente de alto voltaje (CAEN SY2527, dos tarjetas A1733N, monitor y teclado)</w:t>
      </w:r>
    </w:p>
    <w:p w:rsidR="009952E0" w:rsidRDefault="00000000">
      <w:pPr>
        <w:jc w:val="both"/>
      </w:pPr>
      <w:r>
        <w:t>3) Preamplificadores (</w:t>
      </w:r>
      <w:proofErr w:type="spellStart"/>
      <w:r>
        <w:t>Mesytec</w:t>
      </w:r>
      <w:proofErr w:type="spellEnd"/>
      <w:r>
        <w:t xml:space="preserve"> MSI-8p) y fuente de alimentación MNV-4</w:t>
      </w:r>
    </w:p>
    <w:p w:rsidR="009952E0" w:rsidRDefault="00000000">
      <w:pPr>
        <w:jc w:val="both"/>
      </w:pPr>
      <w:r>
        <w:t>4) Formador de pulsos (</w:t>
      </w:r>
      <w:proofErr w:type="spellStart"/>
      <w:r>
        <w:t>shaper</w:t>
      </w:r>
      <w:proofErr w:type="spellEnd"/>
      <w:r>
        <w:t>) (</w:t>
      </w:r>
      <w:proofErr w:type="spellStart"/>
      <w:r>
        <w:t>Mesytec</w:t>
      </w:r>
      <w:proofErr w:type="spellEnd"/>
      <w:r>
        <w:t xml:space="preserve"> MSCF-16F y convertidor MHL-32)</w:t>
      </w:r>
    </w:p>
    <w:p w:rsidR="009952E0" w:rsidRPr="00EC46B2" w:rsidRDefault="00000000">
      <w:pPr>
        <w:jc w:val="both"/>
        <w:rPr>
          <w:lang w:val="en-US"/>
        </w:rPr>
      </w:pPr>
      <w:r w:rsidRPr="00EC46B2">
        <w:rPr>
          <w:lang w:val="en-US"/>
        </w:rPr>
        <w:t xml:space="preserve">5) </w:t>
      </w:r>
      <w:proofErr w:type="spellStart"/>
      <w:r w:rsidRPr="00EC46B2">
        <w:rPr>
          <w:lang w:val="en-US"/>
        </w:rPr>
        <w:t>Sumador</w:t>
      </w:r>
      <w:proofErr w:type="spellEnd"/>
      <w:r w:rsidRPr="00EC46B2">
        <w:rPr>
          <w:lang w:val="en-US"/>
        </w:rPr>
        <w:t xml:space="preserve"> lineal (Linear Fan-in Fan-out CAEN N625)</w:t>
      </w:r>
    </w:p>
    <w:p w:rsidR="009952E0" w:rsidRDefault="00000000">
      <w:pPr>
        <w:jc w:val="both"/>
      </w:pPr>
      <w:r>
        <w:t>6) Amplificadores espectroscópicos (CAEN N968)</w:t>
      </w:r>
    </w:p>
    <w:p w:rsidR="009952E0" w:rsidRDefault="00000000">
      <w:pPr>
        <w:jc w:val="both"/>
      </w:pPr>
      <w:r>
        <w:t xml:space="preserve">7) Sistema de adquisición de datos GASIFIC (VME </w:t>
      </w:r>
      <w:proofErr w:type="spellStart"/>
      <w:r>
        <w:t>crate</w:t>
      </w:r>
      <w:proofErr w:type="spellEnd"/>
      <w:r>
        <w:t xml:space="preserve"> + controlador SIS3100 + ADC SIS3316 de </w:t>
      </w:r>
      <w:proofErr w:type="spellStart"/>
      <w:r>
        <w:t>Struck</w:t>
      </w:r>
      <w:proofErr w:type="spellEnd"/>
      <w:r>
        <w:t>)</w:t>
      </w:r>
    </w:p>
    <w:p w:rsidR="009952E0" w:rsidRDefault="00000000">
      <w:pPr>
        <w:jc w:val="both"/>
      </w:pPr>
      <w:r>
        <w:t>8) Osciloscopio y cables</w:t>
      </w:r>
    </w:p>
    <w:p w:rsidR="009952E0" w:rsidRDefault="00000000">
      <w:pPr>
        <w:jc w:val="both"/>
      </w:pPr>
      <w:r>
        <w:lastRenderedPageBreak/>
        <w:t>9) Fuentes radioactivas exentas 137Cs, 60Co, 22Na</w:t>
      </w:r>
    </w:p>
    <w:p w:rsidR="009952E0" w:rsidRDefault="00000000">
      <w:pPr>
        <w:jc w:val="both"/>
      </w:pPr>
      <w:r>
        <w:t>10) Multicanal (</w:t>
      </w:r>
      <w:proofErr w:type="spellStart"/>
      <w:r>
        <w:t>Palmtop</w:t>
      </w:r>
      <w:proofErr w:type="spellEnd"/>
      <w:r>
        <w:t xml:space="preserve"> MCA ATOMKI)</w:t>
      </w:r>
    </w:p>
    <w:p w:rsidR="009952E0" w:rsidRDefault="00000000">
      <w:pPr>
        <w:jc w:val="both"/>
      </w:pPr>
      <w:r>
        <w:t xml:space="preserve">11) Ordenador en Windows para el control remoto del formador de pulsos MSCF-16F y del </w:t>
      </w:r>
      <w:proofErr w:type="spellStart"/>
      <w:r>
        <w:t>Palmtop</w:t>
      </w:r>
      <w:proofErr w:type="spellEnd"/>
      <w:r>
        <w:t xml:space="preserve"> MCA ATOMKI.</w:t>
      </w:r>
    </w:p>
    <w:p w:rsidR="009952E0" w:rsidRDefault="009952E0">
      <w:pPr>
        <w:rPr>
          <w:b/>
        </w:rPr>
      </w:pPr>
    </w:p>
    <w:p w:rsidR="009952E0" w:rsidRDefault="00000000">
      <w:r>
        <w:rPr>
          <w:noProof/>
        </w:rPr>
        <mc:AlternateContent>
          <mc:Choice Requires="wps">
            <w:drawing>
              <wp:anchor distT="0" distB="0" distL="114300" distR="114300" simplePos="0" relativeHeight="2" behindDoc="0" locked="0" layoutInCell="1" allowOverlap="1" wp14:anchorId="7F1A4B54">
                <wp:simplePos x="0" y="0"/>
                <wp:positionH relativeFrom="column">
                  <wp:posOffset>3429000</wp:posOffset>
                </wp:positionH>
                <wp:positionV relativeFrom="paragraph">
                  <wp:posOffset>276225</wp:posOffset>
                </wp:positionV>
                <wp:extent cx="2031365" cy="916940"/>
                <wp:effectExtent l="0" t="0" r="0" b="0"/>
                <wp:wrapSquare wrapText="bothSides"/>
                <wp:docPr id="1" name="Cuadro de texto 2"/>
                <wp:cNvGraphicFramePr/>
                <a:graphic xmlns:a="http://schemas.openxmlformats.org/drawingml/2006/main">
                  <a:graphicData uri="http://schemas.microsoft.com/office/word/2010/wordprocessingShape">
                    <wps:wsp>
                      <wps:cNvSpPr/>
                      <wps:spPr>
                        <a:xfrm>
                          <a:off x="0" y="0"/>
                          <a:ext cx="2030760" cy="916200"/>
                        </a:xfrm>
                        <a:prstGeom prst="rect">
                          <a:avLst/>
                        </a:prstGeom>
                        <a:noFill/>
                        <a:ln>
                          <a:noFill/>
                        </a:ln>
                      </wps:spPr>
                      <wps:style>
                        <a:lnRef idx="0">
                          <a:scrgbClr r="0" g="0" b="0"/>
                        </a:lnRef>
                        <a:fillRef idx="0">
                          <a:scrgbClr r="0" g="0" b="0"/>
                        </a:fillRef>
                        <a:effectRef idx="0">
                          <a:scrgbClr r="0" g="0" b="0"/>
                        </a:effectRef>
                        <a:fontRef idx="minor"/>
                      </wps:style>
                      <wps:txbx>
                        <w:txbxContent>
                          <w:p w:rsidR="009952E0" w:rsidRDefault="00000000">
                            <w:pPr>
                              <w:pStyle w:val="FrameContents"/>
                            </w:pPr>
                            <w:r>
                              <w:rPr>
                                <w:color w:val="000000"/>
                              </w:rPr>
                              <w:t xml:space="preserve">Fig. 1. Detector de absorción </w:t>
                            </w:r>
                          </w:p>
                          <w:p w:rsidR="009952E0" w:rsidRDefault="00000000">
                            <w:pPr>
                              <w:pStyle w:val="FrameContents"/>
                            </w:pPr>
                            <w:r>
                              <w:rPr>
                                <w:color w:val="000000"/>
                              </w:rPr>
                              <w:t>total “Rocinante”</w:t>
                            </w:r>
                          </w:p>
                        </w:txbxContent>
                      </wps:txbx>
                      <wps:bodyPr>
                        <a:noAutofit/>
                      </wps:bodyPr>
                    </wps:wsp>
                  </a:graphicData>
                </a:graphic>
              </wp:anchor>
            </w:drawing>
          </mc:Choice>
          <mc:Fallback>
            <w:pict>
              <v:rect id="shape_0" ID="Cuadro de texto 2" stroked="f" style="position:absolute;margin-left:270pt;margin-top:21.75pt;width:159.85pt;height:72.1pt" wp14:anchorId="7F1A4B54">
                <w10:wrap type="square"/>
                <v:fill o:detectmouseclick="t" on="false"/>
                <v:stroke color="#3465a4" joinstyle="round" endcap="flat"/>
                <v:textbox>
                  <w:txbxContent>
                    <w:p>
                      <w:pPr>
                        <w:pStyle w:val="FrameContents"/>
                        <w:rPr>
                          <w:lang w:val="es-ES"/>
                        </w:rPr>
                      </w:pPr>
                      <w:r>
                        <w:rPr>
                          <w:color w:val="000000"/>
                          <w:lang w:val="es-ES"/>
                        </w:rPr>
                        <w:t xml:space="preserve">Fig. 1. Detector de absorción </w:t>
                      </w:r>
                    </w:p>
                    <w:p>
                      <w:pPr>
                        <w:pStyle w:val="FrameContents"/>
                        <w:rPr>
                          <w:lang w:val="es-ES"/>
                        </w:rPr>
                      </w:pPr>
                      <w:r>
                        <w:rPr>
                          <w:color w:val="000000"/>
                          <w:lang w:val="es-ES"/>
                        </w:rPr>
                        <w:t>total “Rocinante”</w:t>
                      </w:r>
                    </w:p>
                  </w:txbxContent>
                </v:textbox>
              </v:rect>
            </w:pict>
          </mc:Fallback>
        </mc:AlternateContent>
      </w:r>
      <w:r>
        <w:rPr>
          <w:noProof/>
        </w:rPr>
        <w:drawing>
          <wp:inline distT="0" distB="0" distL="0" distR="0">
            <wp:extent cx="3212465" cy="2407920"/>
            <wp:effectExtent l="0" t="0" r="0" b="0"/>
            <wp:docPr id="3" name="Imagen 1" descr="Macintosh HD:Users:algora:Documents:practica_VTAS_preparation:memoria:IMG_20171221_18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Macintosh HD:Users:algora:Documents:practica_VTAS_preparation:memoria:IMG_20171221_181502.jpg"/>
                    <pic:cNvPicPr>
                      <a:picLocks noChangeAspect="1" noChangeArrowheads="1"/>
                    </pic:cNvPicPr>
                  </pic:nvPicPr>
                  <pic:blipFill>
                    <a:blip r:embed="rId11"/>
                    <a:stretch>
                      <a:fillRect/>
                    </a:stretch>
                  </pic:blipFill>
                  <pic:spPr bwMode="auto">
                    <a:xfrm>
                      <a:off x="0" y="0"/>
                      <a:ext cx="3212465" cy="2407920"/>
                    </a:xfrm>
                    <a:prstGeom prst="rect">
                      <a:avLst/>
                    </a:prstGeom>
                  </pic:spPr>
                </pic:pic>
              </a:graphicData>
            </a:graphic>
          </wp:inline>
        </w:drawing>
      </w:r>
    </w:p>
    <w:p w:rsidR="009952E0" w:rsidRDefault="009952E0"/>
    <w:p w:rsidR="009952E0" w:rsidRDefault="009952E0"/>
    <w:p w:rsidR="009952E0" w:rsidRDefault="009952E0"/>
    <w:p w:rsidR="009952E0" w:rsidRDefault="009952E0"/>
    <w:p w:rsidR="009952E0" w:rsidRDefault="009952E0"/>
    <w:p w:rsidR="009952E0" w:rsidRDefault="009952E0"/>
    <w:p w:rsidR="009952E0" w:rsidRDefault="00023B78">
      <w:r>
        <w:rPr>
          <w:noProof/>
        </w:rPr>
        <w:drawing>
          <wp:anchor distT="0" distB="0" distL="0" distR="0" simplePos="0" relativeHeight="6" behindDoc="0" locked="0" layoutInCell="1" allowOverlap="1">
            <wp:simplePos x="0" y="0"/>
            <wp:positionH relativeFrom="column">
              <wp:posOffset>112395</wp:posOffset>
            </wp:positionH>
            <wp:positionV relativeFrom="paragraph">
              <wp:posOffset>51435</wp:posOffset>
            </wp:positionV>
            <wp:extent cx="2414270" cy="2452370"/>
            <wp:effectExtent l="25400" t="38100" r="24130" b="24130"/>
            <wp:wrapSquare wrapText="bothSides"/>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2"/>
                    <a:stretch>
                      <a:fillRect/>
                    </a:stretch>
                  </pic:blipFill>
                  <pic:spPr bwMode="auto">
                    <a:xfrm rot="19800000">
                      <a:off x="0" y="0"/>
                      <a:ext cx="2414270" cy="2452370"/>
                    </a:xfrm>
                    <a:prstGeom prst="rect">
                      <a:avLst/>
                    </a:prstGeom>
                  </pic:spPr>
                </pic:pic>
              </a:graphicData>
            </a:graphic>
            <wp14:sizeRelH relativeFrom="margin">
              <wp14:pctWidth>0</wp14:pctWidth>
            </wp14:sizeRelH>
            <wp14:sizeRelV relativeFrom="margin">
              <wp14:pctHeight>0</wp14:pctHeight>
            </wp14:sizeRelV>
          </wp:anchor>
        </w:drawing>
      </w:r>
    </w:p>
    <w:p w:rsidR="009952E0" w:rsidRDefault="009952E0"/>
    <w:p w:rsidR="009952E0" w:rsidRDefault="00023B78">
      <w:r>
        <w:rPr>
          <w:noProof/>
        </w:rPr>
        <w:drawing>
          <wp:anchor distT="0" distB="0" distL="0" distR="0" simplePos="0" relativeHeight="7" behindDoc="0" locked="0" layoutInCell="1" allowOverlap="1">
            <wp:simplePos x="0" y="0"/>
            <wp:positionH relativeFrom="column">
              <wp:posOffset>3215068</wp:posOffset>
            </wp:positionH>
            <wp:positionV relativeFrom="paragraph">
              <wp:posOffset>33926</wp:posOffset>
            </wp:positionV>
            <wp:extent cx="2868295" cy="1080135"/>
            <wp:effectExtent l="0" t="0" r="0" b="0"/>
            <wp:wrapSquare wrapText="bothSides"/>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a:stretch>
                      <a:fillRect/>
                    </a:stretch>
                  </pic:blipFill>
                  <pic:spPr bwMode="auto">
                    <a:xfrm>
                      <a:off x="0" y="0"/>
                      <a:ext cx="2868295" cy="1080135"/>
                    </a:xfrm>
                    <a:prstGeom prst="rect">
                      <a:avLst/>
                    </a:prstGeom>
                  </pic:spPr>
                </pic:pic>
              </a:graphicData>
            </a:graphic>
          </wp:anchor>
        </w:drawing>
      </w:r>
    </w:p>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9952E0"/>
    <w:p w:rsidR="009952E0" w:rsidRDefault="001543E7">
      <w:r>
        <w:rPr>
          <w:noProof/>
        </w:rPr>
        <mc:AlternateContent>
          <mc:Choice Requires="wps">
            <w:drawing>
              <wp:anchor distT="0" distB="0" distL="114300" distR="114300" simplePos="0" relativeHeight="8" behindDoc="0" locked="0" layoutInCell="1" allowOverlap="1" wp14:anchorId="7F1A4B54">
                <wp:simplePos x="0" y="0"/>
                <wp:positionH relativeFrom="column">
                  <wp:posOffset>1478</wp:posOffset>
                </wp:positionH>
                <wp:positionV relativeFrom="paragraph">
                  <wp:posOffset>1251949</wp:posOffset>
                </wp:positionV>
                <wp:extent cx="5293995" cy="916940"/>
                <wp:effectExtent l="0" t="0" r="0" b="0"/>
                <wp:wrapSquare wrapText="bothSides"/>
                <wp:docPr id="6" name="Cuadro de texto 2_0"/>
                <wp:cNvGraphicFramePr/>
                <a:graphic xmlns:a="http://schemas.openxmlformats.org/drawingml/2006/main">
                  <a:graphicData uri="http://schemas.microsoft.com/office/word/2010/wordprocessingShape">
                    <wps:wsp>
                      <wps:cNvSpPr/>
                      <wps:spPr>
                        <a:xfrm>
                          <a:off x="0" y="0"/>
                          <a:ext cx="5293995" cy="916940"/>
                        </a:xfrm>
                        <a:prstGeom prst="rect">
                          <a:avLst/>
                        </a:prstGeom>
                        <a:noFill/>
                        <a:ln>
                          <a:noFill/>
                        </a:ln>
                      </wps:spPr>
                      <wps:style>
                        <a:lnRef idx="0">
                          <a:scrgbClr r="0" g="0" b="0"/>
                        </a:lnRef>
                        <a:fillRef idx="0">
                          <a:scrgbClr r="0" g="0" b="0"/>
                        </a:fillRef>
                        <a:effectRef idx="0">
                          <a:scrgbClr r="0" g="0" b="0"/>
                        </a:effectRef>
                        <a:fontRef idx="minor"/>
                      </wps:style>
                      <wps:txbx>
                        <w:txbxContent>
                          <w:p w:rsidR="009952E0" w:rsidRDefault="00000000">
                            <w:pPr>
                              <w:pStyle w:val="FrameContents"/>
                            </w:pPr>
                            <w:r>
                              <w:rPr>
                                <w:color w:val="000000"/>
                              </w:rPr>
                              <w:t>Fig. 2. Esquema del detector de absorción total “Rocinante”</w:t>
                            </w:r>
                          </w:p>
                        </w:txbxContent>
                      </wps:txbx>
                      <wps:bodyPr>
                        <a:noAutofit/>
                      </wps:bodyPr>
                    </wps:wsp>
                  </a:graphicData>
                </a:graphic>
              </wp:anchor>
            </w:drawing>
          </mc:Choice>
          <mc:Fallback>
            <w:pict>
              <v:rect w14:anchorId="7F1A4B54" id="Cuadro de texto 2_0" o:spid="_x0000_s1027" style="position:absolute;margin-left:.1pt;margin-top:98.6pt;width:416.85pt;height:72.2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" filled="f" stroked="f">
                <v:textbox>
                  <w:txbxContent>
                    <w:p w:rsidR="009952E0" w:rsidRDefault="00000000">
                      <w:pPr>
                        <w:pStyle w:val="FrameContents"/>
                      </w:pPr>
                      <w:r>
                        <w:rPr>
                          <w:color w:val="000000"/>
                        </w:rPr>
                        <w:t>Fig. 2. Esquema del detector de absorción total “Rocinante”</w:t>
                      </w:r>
                    </w:p>
                  </w:txbxContent>
                </v:textbox>
                <w10:wrap type="square"/>
              </v:rect>
            </w:pict>
          </mc:Fallback>
        </mc:AlternateContent>
      </w:r>
    </w:p>
    <w:p w:rsidR="009952E0" w:rsidRDefault="00000000">
      <w:r>
        <w:rPr>
          <w:noProof/>
        </w:rPr>
        <w:lastRenderedPageBreak/>
        <w:drawing>
          <wp:inline distT="0" distB="0" distL="0" distR="0">
            <wp:extent cx="5395595" cy="3014980"/>
            <wp:effectExtent l="0" t="0" r="0" b="0"/>
            <wp:docPr id="8" name="Imagen 5" descr="Macintosh HD:Users:algora:Documents:practica_VTAS_preparation:memoria:Screen Shot 2017-12-22 at 19.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 descr="Macintosh HD:Users:algora:Documents:practica_VTAS_preparation:memoria:Screen Shot 2017-12-22 at 19.49.31.png"/>
                    <pic:cNvPicPr>
                      <a:picLocks noChangeAspect="1" noChangeArrowheads="1"/>
                    </pic:cNvPicPr>
                  </pic:nvPicPr>
                  <pic:blipFill>
                    <a:blip r:embed="rId14"/>
                    <a:stretch>
                      <a:fillRect/>
                    </a:stretch>
                  </pic:blipFill>
                  <pic:spPr bwMode="auto">
                    <a:xfrm>
                      <a:off x="0" y="0"/>
                      <a:ext cx="5395595" cy="3014980"/>
                    </a:xfrm>
                    <a:prstGeom prst="rect">
                      <a:avLst/>
                    </a:prstGeom>
                  </pic:spPr>
                </pic:pic>
              </a:graphicData>
            </a:graphic>
          </wp:inline>
        </w:drawing>
      </w:r>
    </w:p>
    <w:p w:rsidR="009952E0" w:rsidRDefault="00000000">
      <w:pPr>
        <w:outlineLvl w:val="0"/>
      </w:pPr>
      <w:r>
        <w:t xml:space="preserve">Fig. 3. Esquema de la electrónica completa de la práctica. </w:t>
      </w:r>
    </w:p>
    <w:p w:rsidR="009952E0" w:rsidRDefault="009952E0"/>
    <w:p w:rsidR="00B005BD" w:rsidRDefault="00B005BD" w:rsidP="00B005BD">
      <w:pPr>
        <w:outlineLvl w:val="0"/>
        <w:rPr>
          <w:b/>
          <w:lang w:val="es-ES_tradnl"/>
        </w:rPr>
      </w:pPr>
      <w:r>
        <w:rPr>
          <w:b/>
          <w:lang w:val="es-ES_tradnl"/>
        </w:rPr>
        <w:t>Realización:</w:t>
      </w:r>
    </w:p>
    <w:p w:rsidR="00B005BD" w:rsidRPr="00860FBE" w:rsidRDefault="00B005BD" w:rsidP="00B005BD">
      <w:pPr>
        <w:jc w:val="both"/>
      </w:pPr>
      <w:r>
        <w:t>Los</w:t>
      </w:r>
      <w:r w:rsidRPr="00860FBE">
        <w:t xml:space="preserve"> alumno</w:t>
      </w:r>
      <w:r>
        <w:t>s</w:t>
      </w:r>
      <w:r w:rsidRPr="00860FBE">
        <w:t>:</w:t>
      </w:r>
    </w:p>
    <w:p w:rsidR="00B005BD" w:rsidRPr="00161BF9" w:rsidRDefault="00B005BD" w:rsidP="00B005BD">
      <w:pPr>
        <w:jc w:val="both"/>
        <w:rPr>
          <w:b/>
        </w:rPr>
      </w:pPr>
      <w:r>
        <w:t xml:space="preserve">0) </w:t>
      </w:r>
      <w:r>
        <w:rPr>
          <w:b/>
        </w:rPr>
        <w:t xml:space="preserve">Se recomienda mirar información sobre </w:t>
      </w:r>
      <w:r w:rsidRPr="00161BF9">
        <w:rPr>
          <w:b/>
        </w:rPr>
        <w:t>las características físicas relevantes de los centelladores de BaF2 y la electrónica utilizada.</w:t>
      </w:r>
      <w:r>
        <w:rPr>
          <w:b/>
        </w:rPr>
        <w:t xml:space="preserve"> (mirar bibliografía)</w:t>
      </w:r>
    </w:p>
    <w:p w:rsidR="00B005BD" w:rsidRDefault="00B005BD" w:rsidP="00B005BD">
      <w:pPr>
        <w:jc w:val="both"/>
      </w:pPr>
      <w:r>
        <w:t xml:space="preserve">1) </w:t>
      </w:r>
      <w:r w:rsidRPr="00161BF9">
        <w:rPr>
          <w:b/>
        </w:rPr>
        <w:t>Se controlarán las conexiones de la electrónica siguiendo el esquema adjunto y se caracterizarán las señales en el osciloscopio.</w:t>
      </w:r>
    </w:p>
    <w:p w:rsidR="00B005BD" w:rsidRDefault="00B005BD" w:rsidP="00B005BD">
      <w:pPr>
        <w:jc w:val="both"/>
      </w:pPr>
      <w:r>
        <w:t xml:space="preserve">2) </w:t>
      </w:r>
      <w:r w:rsidRPr="00161BF9">
        <w:rPr>
          <w:b/>
        </w:rPr>
        <w:t>Se procederá a controlar el alineamiento</w:t>
      </w:r>
      <w:r>
        <w:rPr>
          <w:b/>
        </w:rPr>
        <w:t xml:space="preserve"> de las señales</w:t>
      </w:r>
      <w:r w:rsidRPr="00161BF9">
        <w:rPr>
          <w:b/>
        </w:rPr>
        <w:t xml:space="preserve"> de </w:t>
      </w:r>
      <w:r>
        <w:rPr>
          <w:b/>
        </w:rPr>
        <w:t xml:space="preserve">todos los </w:t>
      </w:r>
      <w:r w:rsidRPr="00161BF9">
        <w:rPr>
          <w:b/>
        </w:rPr>
        <w:t>detectores individuales de BaF2 utilizando la fuente de 137Cs</w:t>
      </w:r>
      <w:r>
        <w:rPr>
          <w:b/>
        </w:rPr>
        <w:t>. Si se encuentra que uno está desalineado se</w:t>
      </w:r>
      <w:r>
        <w:rPr>
          <w:b/>
        </w:rPr>
        <w:t xml:space="preserve"> cambi</w:t>
      </w:r>
      <w:r>
        <w:rPr>
          <w:b/>
        </w:rPr>
        <w:t>ará</w:t>
      </w:r>
      <w:r>
        <w:rPr>
          <w:b/>
        </w:rPr>
        <w:t xml:space="preserve"> el voltaje aplicado a</w:t>
      </w:r>
      <w:r>
        <w:rPr>
          <w:b/>
        </w:rPr>
        <w:t>l</w:t>
      </w:r>
      <w:r>
        <w:rPr>
          <w:b/>
        </w:rPr>
        <w:t xml:space="preserve"> fotomultiplicador</w:t>
      </w:r>
      <w:r>
        <w:t xml:space="preserve">.  Para ello se utilizarán las señales del dinodo </w:t>
      </w:r>
      <w:r>
        <w:t xml:space="preserve">y su correspondiente cadena electrónica (fig.3) </w:t>
      </w:r>
      <w:r>
        <w:t xml:space="preserve">de los detectores 1 (referencia) y detector </w:t>
      </w:r>
      <w:r>
        <w:t>desalineado</w:t>
      </w:r>
      <w:r>
        <w:t xml:space="preserve"> </w:t>
      </w:r>
      <w:r>
        <w:t xml:space="preserve">utilizando el sistema de adquisición GASIFIC. Para esto se utilizarán las señales “raw”. </w:t>
      </w:r>
      <w:r>
        <w:t xml:space="preserve">El alineamiento de ganancias se realizará cambiando el voltaje aplicado al fotomultiplicador </w:t>
      </w:r>
      <w:r>
        <w:t xml:space="preserve">desalineado </w:t>
      </w:r>
      <w:r>
        <w:t xml:space="preserve">utilizando el sistema CAEN SY2527.  </w:t>
      </w:r>
    </w:p>
    <w:p w:rsidR="00B005BD" w:rsidRDefault="00B005BD" w:rsidP="00B005BD">
      <w:pPr>
        <w:jc w:val="both"/>
      </w:pPr>
      <w:r>
        <w:t xml:space="preserve">3)  </w:t>
      </w:r>
      <w:r w:rsidRPr="00161BF9">
        <w:rPr>
          <w:b/>
        </w:rPr>
        <w:t xml:space="preserve">Se procederá a </w:t>
      </w:r>
      <w:r w:rsidR="003C637D">
        <w:rPr>
          <w:b/>
        </w:rPr>
        <w:t xml:space="preserve">comprobar </w:t>
      </w:r>
      <w:r w:rsidRPr="00161BF9">
        <w:rPr>
          <w:b/>
        </w:rPr>
        <w:t>la calibración de los detectores individuales utilizando los espectros adquiridos en el sistema de adquisición GASIFIC</w:t>
      </w:r>
      <w:r w:rsidR="003C637D">
        <w:rPr>
          <w:b/>
        </w:rPr>
        <w:t xml:space="preserve"> (espectros </w:t>
      </w:r>
      <w:proofErr w:type="spellStart"/>
      <w:r w:rsidR="003C637D">
        <w:rPr>
          <w:b/>
        </w:rPr>
        <w:t>DinCal</w:t>
      </w:r>
      <w:proofErr w:type="spellEnd"/>
      <w:r w:rsidR="003C637D">
        <w:rPr>
          <w:b/>
        </w:rPr>
        <w:t>#).</w:t>
      </w:r>
      <w:r>
        <w:rPr>
          <w:b/>
        </w:rPr>
        <w:t xml:space="preserve"> </w:t>
      </w:r>
      <w:r>
        <w:t>Recalibración del detector al que se le ha cambiado la ganancia</w:t>
      </w:r>
      <w:r w:rsidR="003C637D">
        <w:t xml:space="preserve">. </w:t>
      </w:r>
      <w:r>
        <w:t>Determinación de la resolución de los detectores individuales y de</w:t>
      </w:r>
      <w:r w:rsidR="003C637D">
        <w:t xml:space="preserve">l </w:t>
      </w:r>
      <w:r>
        <w:t>espectro suma software (</w:t>
      </w:r>
      <w:proofErr w:type="spellStart"/>
      <w:r>
        <w:t>SoftSum</w:t>
      </w:r>
      <w:proofErr w:type="spellEnd"/>
      <w:r>
        <w:t>)</w:t>
      </w:r>
      <w:r w:rsidR="003C637D">
        <w:t xml:space="preserve">. </w:t>
      </w:r>
    </w:p>
    <w:p w:rsidR="00B005BD" w:rsidRDefault="00B005BD" w:rsidP="00B005BD">
      <w:pPr>
        <w:jc w:val="both"/>
      </w:pPr>
      <w:r>
        <w:t xml:space="preserve">4) </w:t>
      </w:r>
      <w:r w:rsidRPr="0006247F">
        <w:rPr>
          <w:b/>
        </w:rPr>
        <w:t>Estudio de las condiciones de “</w:t>
      </w:r>
      <w:proofErr w:type="spellStart"/>
      <w:r w:rsidRPr="0006247F">
        <w:rPr>
          <w:b/>
        </w:rPr>
        <w:t>trigger</w:t>
      </w:r>
      <w:proofErr w:type="spellEnd"/>
      <w:r w:rsidRPr="0006247F">
        <w:rPr>
          <w:b/>
        </w:rPr>
        <w:t>” cambiando los parámetros de multiplicidad del transformador de pulsos MSCF-16F</w:t>
      </w:r>
      <w:r w:rsidR="003C637D">
        <w:rPr>
          <w:b/>
        </w:rPr>
        <w:t xml:space="preserve"> (</w:t>
      </w:r>
      <w:proofErr w:type="spellStart"/>
      <w:r w:rsidR="003C637D">
        <w:rPr>
          <w:b/>
        </w:rPr>
        <w:t>shaper</w:t>
      </w:r>
      <w:proofErr w:type="spellEnd"/>
      <w:r w:rsidR="003C637D">
        <w:rPr>
          <w:b/>
        </w:rPr>
        <w:t>)</w:t>
      </w:r>
      <w:r>
        <w:t>. Visualización del “</w:t>
      </w:r>
      <w:proofErr w:type="spellStart"/>
      <w:r>
        <w:t>trigger</w:t>
      </w:r>
      <w:proofErr w:type="spellEnd"/>
      <w:r>
        <w:t>” en el osciloscopio.  Medida e interpretación de</w:t>
      </w:r>
      <w:r w:rsidR="003C637D">
        <w:t xml:space="preserve"> los</w:t>
      </w:r>
      <w:r>
        <w:t xml:space="preserve"> espectro</w:t>
      </w:r>
      <w:r w:rsidR="003C637D">
        <w:t xml:space="preserve">s </w:t>
      </w:r>
      <w:r>
        <w:t>de 137Cs</w:t>
      </w:r>
      <w:r w:rsidR="003C637D">
        <w:t>,</w:t>
      </w:r>
      <w:r>
        <w:t xml:space="preserve"> 60Co </w:t>
      </w:r>
      <w:r w:rsidR="003C637D">
        <w:t xml:space="preserve">y 22Na </w:t>
      </w:r>
      <w:r>
        <w:t xml:space="preserve">con distintas condiciones de multiplicidad. Salvar los histogramas para su posterior comparación. </w:t>
      </w:r>
    </w:p>
    <w:p w:rsidR="00B005BD" w:rsidRDefault="00B005BD" w:rsidP="00B005BD">
      <w:pPr>
        <w:jc w:val="both"/>
        <w:rPr>
          <w:b/>
        </w:rPr>
      </w:pPr>
      <w:r>
        <w:t xml:space="preserve">5) </w:t>
      </w:r>
      <w:r>
        <w:rPr>
          <w:b/>
        </w:rPr>
        <w:t xml:space="preserve">Obtener un </w:t>
      </w:r>
      <w:r w:rsidRPr="0006247F">
        <w:rPr>
          <w:b/>
        </w:rPr>
        <w:t xml:space="preserve">espectro </w:t>
      </w:r>
      <w:r>
        <w:rPr>
          <w:b/>
        </w:rPr>
        <w:t xml:space="preserve">TAS </w:t>
      </w:r>
      <w:r w:rsidR="003C637D">
        <w:rPr>
          <w:b/>
        </w:rPr>
        <w:t>(</w:t>
      </w:r>
      <w:proofErr w:type="spellStart"/>
      <w:r w:rsidR="003C637D">
        <w:rPr>
          <w:b/>
        </w:rPr>
        <w:t>SoftSum</w:t>
      </w:r>
      <w:proofErr w:type="spellEnd"/>
      <w:r w:rsidR="003C637D">
        <w:rPr>
          <w:b/>
        </w:rPr>
        <w:t xml:space="preserve">) </w:t>
      </w:r>
      <w:r>
        <w:rPr>
          <w:b/>
        </w:rPr>
        <w:t>sin fondo</w:t>
      </w:r>
      <w:r w:rsidR="003C637D">
        <w:rPr>
          <w:b/>
        </w:rPr>
        <w:t xml:space="preserve"> para la fuente de 137Cs</w:t>
      </w:r>
      <w:r>
        <w:rPr>
          <w:b/>
        </w:rPr>
        <w:t>.</w:t>
      </w:r>
      <w:r w:rsidRPr="0006247F">
        <w:rPr>
          <w:b/>
        </w:rPr>
        <w:t xml:space="preserve"> </w:t>
      </w:r>
      <w:r w:rsidRPr="00CB1192">
        <w:t>Medir los espectros de la fuente 137Cs y</w:t>
      </w:r>
      <w:r w:rsidR="003C637D">
        <w:t xml:space="preserve"> el fondo </w:t>
      </w:r>
      <w:r w:rsidRPr="00CB1192">
        <w:t>para su posterior substracción</w:t>
      </w:r>
      <w:r>
        <w:rPr>
          <w:b/>
        </w:rPr>
        <w:t xml:space="preserve">. </w:t>
      </w:r>
      <w:r w:rsidR="003C637D">
        <w:rPr>
          <w:b/>
        </w:rPr>
        <w:t xml:space="preserve"> Comparar con el espectro del 137Cs </w:t>
      </w:r>
      <w:proofErr w:type="spellStart"/>
      <w:r w:rsidR="003C637D">
        <w:rPr>
          <w:b/>
        </w:rPr>
        <w:t>SoftSum</w:t>
      </w:r>
      <w:proofErr w:type="spellEnd"/>
      <w:r w:rsidR="003C637D">
        <w:rPr>
          <w:b/>
        </w:rPr>
        <w:t xml:space="preserve"> con condición de multiplicidad 2</w:t>
      </w:r>
    </w:p>
    <w:p w:rsidR="003C637D" w:rsidRPr="00CB1192" w:rsidRDefault="003C637D" w:rsidP="00B005BD">
      <w:pPr>
        <w:jc w:val="both"/>
      </w:pPr>
      <w:r>
        <w:rPr>
          <w:b/>
        </w:rPr>
        <w:t>(punto 4).</w:t>
      </w:r>
    </w:p>
    <w:p w:rsidR="009952E0" w:rsidRDefault="009952E0"/>
    <w:p w:rsidR="009952E0" w:rsidRDefault="009952E0"/>
    <w:p w:rsidR="009952E0" w:rsidRDefault="00000000">
      <w:pPr>
        <w:outlineLvl w:val="0"/>
      </w:pPr>
      <w:r>
        <w:rPr>
          <w:b/>
        </w:rPr>
        <w:t>Preguntas para la Memoria</w:t>
      </w:r>
    </w:p>
    <w:p w:rsidR="009952E0" w:rsidRDefault="009952E0"/>
    <w:p w:rsidR="009952E0" w:rsidRDefault="00000000">
      <w:pPr>
        <w:outlineLvl w:val="0"/>
      </w:pPr>
      <w:r>
        <w:rPr>
          <w:b/>
        </w:rPr>
        <w:t>Punto 1:</w:t>
      </w:r>
    </w:p>
    <w:p w:rsidR="009952E0" w:rsidRDefault="00000000">
      <w:pPr>
        <w:outlineLvl w:val="0"/>
      </w:pPr>
      <w:r>
        <w:t>Definir lo que es la técnica de Espectroscopia de Absorción Total (TAS por sus siglas en inglés) y realizar un dibujo esquemático de una medida TAS para una desintegración a un solo nivel que tenga una cascada de dos gammas.</w:t>
      </w:r>
    </w:p>
    <w:p w:rsidR="009952E0" w:rsidRDefault="009952E0"/>
    <w:p w:rsidR="009952E0" w:rsidRDefault="00000000">
      <w:pPr>
        <w:outlineLvl w:val="0"/>
      </w:pPr>
      <w:r>
        <w:rPr>
          <w:b/>
        </w:rPr>
        <w:t xml:space="preserve">Punto 2: </w:t>
      </w:r>
    </w:p>
    <w:p w:rsidR="009952E0" w:rsidRDefault="00000000">
      <w:pPr>
        <w:outlineLvl w:val="0"/>
      </w:pPr>
      <w:r>
        <w:t xml:space="preserve">¿Por qué es necesario alinear las señales de los detectores individuales usando el voltaje aplicado a los </w:t>
      </w:r>
      <w:proofErr w:type="spellStart"/>
      <w:r>
        <w:t>PMs</w:t>
      </w:r>
      <w:proofErr w:type="spellEnd"/>
      <w:r>
        <w:t>?</w:t>
      </w:r>
    </w:p>
    <w:p w:rsidR="009952E0" w:rsidRDefault="009952E0"/>
    <w:p w:rsidR="009952E0" w:rsidRDefault="00000000">
      <w:pPr>
        <w:outlineLvl w:val="0"/>
      </w:pPr>
      <w:r>
        <w:rPr>
          <w:b/>
        </w:rPr>
        <w:t>Punto 3:</w:t>
      </w:r>
    </w:p>
    <w:p w:rsidR="009952E0" w:rsidRDefault="00000000">
      <w:r>
        <w:t>Obtenga un espectro TAS de 137Cs sin fondo, para ello tome una medida de fondo y una medida de 137Cs multiplicidad open, luego compare este espectro sin fondo con una medida de 137 multiplicidad 2. (realizar esto con el espectro suma).</w:t>
      </w:r>
    </w:p>
    <w:p w:rsidR="009952E0" w:rsidRDefault="00000000">
      <w:r>
        <w:t xml:space="preserve"> </w:t>
      </w:r>
    </w:p>
    <w:p w:rsidR="009952E0" w:rsidRDefault="00000000">
      <w:pPr>
        <w:outlineLvl w:val="0"/>
      </w:pPr>
      <w:r>
        <w:rPr>
          <w:b/>
        </w:rPr>
        <w:t>Punto 4:</w:t>
      </w:r>
    </w:p>
    <w:p w:rsidR="009952E0" w:rsidRDefault="00000000">
      <w:pPr>
        <w:outlineLvl w:val="0"/>
      </w:pPr>
      <w:r>
        <w:t>Realice una medida de 60Co multiplicidad 2 y explique la diferencia entre el espectro suma y un espectro de un detector individual.</w:t>
      </w:r>
    </w:p>
    <w:p w:rsidR="009952E0" w:rsidRDefault="009952E0"/>
    <w:p w:rsidR="009952E0" w:rsidRDefault="00000000">
      <w:pPr>
        <w:outlineLvl w:val="0"/>
      </w:pPr>
      <w:r>
        <w:rPr>
          <w:b/>
        </w:rPr>
        <w:t>Punto 5:</w:t>
      </w:r>
    </w:p>
    <w:p w:rsidR="009952E0" w:rsidRDefault="00000000">
      <w:r>
        <w:t xml:space="preserve">Determine la multiplicidad </w:t>
      </w:r>
      <w:r w:rsidR="007D4E0B">
        <w:t>ó</w:t>
      </w:r>
      <w:r>
        <w:t xml:space="preserve">ptima para maximizar el pico suma del 22Na en el espectro suma para ello pruebe las multiplicidades 1, 2 y 3. Explique por qué esta multiplicidad es la </w:t>
      </w:r>
      <w:r w:rsidR="007D4E0B">
        <w:t>ó</w:t>
      </w:r>
      <w:r>
        <w:t>ptima.</w:t>
      </w:r>
    </w:p>
    <w:p w:rsidR="009952E0" w:rsidRDefault="009952E0"/>
    <w:p w:rsidR="009952E0" w:rsidRDefault="009952E0"/>
    <w:sectPr w:rsidR="009952E0">
      <w:pgSz w:w="11906" w:h="16838"/>
      <w:pgMar w:top="1417" w:right="1701" w:bottom="1417"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Arial"/>
    <w:panose1 w:val="020B0604020202020204"/>
    <w:charset w:val="00"/>
    <w:family w:val="swiss"/>
    <w:pitch w:val="variable"/>
    <w:sig w:usb0="E7002EFF" w:usb1="D200FDFF" w:usb2="0A24602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libr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2E0"/>
    <w:rsid w:val="00023B78"/>
    <w:rsid w:val="00035CF3"/>
    <w:rsid w:val="0012502D"/>
    <w:rsid w:val="001543E7"/>
    <w:rsid w:val="003C637D"/>
    <w:rsid w:val="007D4E0B"/>
    <w:rsid w:val="009952E0"/>
    <w:rsid w:val="00B005BD"/>
    <w:rsid w:val="00C23677"/>
    <w:rsid w:val="00EC46B2"/>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27C4D2F"/>
  <w15:docId w15:val="{81A5D4BF-0B52-714F-8E56-6F3A2741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DejaVu Sans"/>
        <w:szCs w:val="24"/>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BalloonTextChar">
    <w:name w:val="Balloon Text Char"/>
    <w:basedOn w:val="DefaultParagraphFont"/>
    <w:qFormat/>
    <w:rPr>
      <w:rFonts w:ascii="Lucida Grande" w:hAnsi="Lucida Grande" w:cs="Lucida Grande"/>
      <w:sz w:val="18"/>
      <w:szCs w:val="18"/>
    </w:rPr>
  </w:style>
  <w:style w:type="character" w:customStyle="1" w:styleId="DocumentMapChar">
    <w:name w:val="Document Map Char"/>
    <w:basedOn w:val="DefaultParagraphFont"/>
    <w:qFormat/>
    <w:rPr>
      <w:rFonts w:ascii="Times New Roman" w:hAnsi="Times New Roman"/>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BalloonText">
    <w:name w:val="Balloon Text"/>
    <w:basedOn w:val="Normal"/>
    <w:qFormat/>
    <w:rPr>
      <w:rFonts w:ascii="Lucida Grande" w:hAnsi="Lucida Grande" w:cs="Lucida Grande"/>
      <w:sz w:val="18"/>
      <w:szCs w:val="18"/>
    </w:rPr>
  </w:style>
  <w:style w:type="paragraph" w:styleId="DocumentMap">
    <w:name w:val="Document Map"/>
    <w:basedOn w:val="Normal"/>
    <w:qFormat/>
    <w:rPr>
      <w:rFonts w:ascii="Times New Roman" w:hAnsi="Times New Roman"/>
    </w:rPr>
  </w:style>
  <w:style w:type="paragraph" w:customStyle="1" w:styleId="FrameContents">
    <w:name w:val="Frame Contents"/>
    <w:basedOn w:val="Normal"/>
    <w:qFormat/>
  </w:style>
  <w:style w:type="paragraph" w:styleId="ListParagraph">
    <w:name w:val="List Paragraph"/>
    <w:basedOn w:val="Normal"/>
    <w:uiPriority w:val="34"/>
    <w:qFormat/>
    <w:rsid w:val="004E16B3"/>
    <w:pPr>
      <w:ind w:left="720"/>
      <w:contextualSpacing/>
    </w:pPr>
  </w:style>
  <w:style w:type="character" w:styleId="UnresolvedMention">
    <w:name w:val="Unresolved Mention"/>
    <w:basedOn w:val="DefaultParagraphFont"/>
    <w:uiPriority w:val="99"/>
    <w:semiHidden/>
    <w:unhideWhenUsed/>
    <w:rsid w:val="00EC4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esytec.com/products/nuclear-physics/MSCF-16_F_V.html"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caen.it/csite/CaenProd.jsp?parent=20&amp;idmod=123"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truck.de/sis3316.html" TargetMode="External"/><Relationship Id="rId11" Type="http://schemas.openxmlformats.org/officeDocument/2006/relationships/image" Target="media/image1.jpeg"/><Relationship Id="rId5" Type="http://schemas.openxmlformats.org/officeDocument/2006/relationships/hyperlink" Target="https://www.caen.it/products/n968/" TargetMode="External"/><Relationship Id="rId15" Type="http://schemas.openxmlformats.org/officeDocument/2006/relationships/fontTable" Target="fontTable.xml"/><Relationship Id="rId10" Type="http://schemas.openxmlformats.org/officeDocument/2006/relationships/hyperlink" Target="http://iopscience.iop.org/article/10.1088/1361-6471/aa797f" TargetMode="External"/><Relationship Id="rId4" Type="http://schemas.openxmlformats.org/officeDocument/2006/relationships/hyperlink" Target="https://www.luxiumsolutions.com/sites/default/files/2021-09/Scintillation-Operating-Manual.pdf" TargetMode="External"/><Relationship Id="rId9" Type="http://schemas.openxmlformats.org/officeDocument/2006/relationships/hyperlink" Target="https://www.intechopen.com/books/nuclear-reactors/decay-heat-and-nuclear-data"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870</Words>
  <Characters>4961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IFIC (CSIC-Univ. Valencia)</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Algora</dc:creator>
  <dc:description/>
  <cp:lastModifiedBy>Microsoft Office User</cp:lastModifiedBy>
  <cp:revision>9</cp:revision>
  <cp:lastPrinted>2018-01-03T10:36:00Z</cp:lastPrinted>
  <dcterms:created xsi:type="dcterms:W3CDTF">2024-01-12T16:12:00Z</dcterms:created>
  <dcterms:modified xsi:type="dcterms:W3CDTF">2024-01-12T17:15:00Z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IFIC (CSIC-Univ. Valencia)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